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7E61" w:rsidRDefault="00C95398">
      <w:pPr>
        <w:pStyle w:val="Heading1"/>
        <w:jc w:val="center"/>
        <w:rPr>
          <w:rFonts w:ascii="Times New Roman" w:eastAsia="Times New Roman" w:hAnsi="Times New Roman" w:cs="Times New Roman"/>
          <w:b w:val="0"/>
          <w:color w:val="000000"/>
          <w:sz w:val="24"/>
          <w:szCs w:val="24"/>
        </w:rPr>
      </w:pPr>
      <w:r>
        <w:rPr>
          <w:rFonts w:ascii="Times New Roman" w:eastAsia="Times New Roman" w:hAnsi="Times New Roman" w:cs="Times New Roman"/>
          <w:color w:val="000000"/>
          <w:sz w:val="24"/>
          <w:szCs w:val="24"/>
        </w:rPr>
        <w:t>Frequently Asked Questions</w:t>
      </w:r>
    </w:p>
    <w:p w:rsidR="00607E61" w:rsidRDefault="00C95398">
      <w:pPr>
        <w:pStyle w:val="Heading1"/>
        <w:jc w:val="center"/>
        <w:rPr>
          <w:rFonts w:ascii="Times New Roman" w:eastAsia="Times New Roman" w:hAnsi="Times New Roman" w:cs="Times New Roman"/>
          <w:b w:val="0"/>
          <w:color w:val="000000"/>
          <w:sz w:val="24"/>
          <w:szCs w:val="24"/>
        </w:rPr>
      </w:pPr>
      <w:r>
        <w:rPr>
          <w:rFonts w:ascii="Times New Roman" w:eastAsia="Times New Roman" w:hAnsi="Times New Roman" w:cs="Times New Roman"/>
          <w:color w:val="000000"/>
          <w:sz w:val="24"/>
          <w:szCs w:val="24"/>
        </w:rPr>
        <w:t>Adult Education 2021-2022 Continuation Application</w:t>
      </w:r>
    </w:p>
    <w:p w:rsidR="00607E61" w:rsidRDefault="0037531F">
      <w:pPr>
        <w:jc w:val="center"/>
      </w:pPr>
      <w:r>
        <w:t>April 1</w:t>
      </w:r>
      <w:r w:rsidR="00C95398">
        <w:t>, 2021</w:t>
      </w:r>
    </w:p>
    <w:p w:rsidR="00607E61" w:rsidRDefault="00C95398">
      <w:pPr>
        <w:pStyle w:val="Heading2"/>
        <w:rPr>
          <w:rFonts w:ascii="Times New Roman" w:eastAsia="Times New Roman" w:hAnsi="Times New Roman" w:cs="Times New Roman"/>
          <w:b w:val="0"/>
        </w:rPr>
      </w:pPr>
      <w:r>
        <w:rPr>
          <w:rFonts w:ascii="Times New Roman" w:eastAsia="Times New Roman" w:hAnsi="Times New Roman" w:cs="Times New Roman"/>
        </w:rPr>
        <w:t>General</w:t>
      </w:r>
    </w:p>
    <w:p w:rsidR="00607E61" w:rsidRDefault="00607E61">
      <w:pPr>
        <w:pBdr>
          <w:top w:val="nil"/>
          <w:left w:val="nil"/>
          <w:bottom w:val="nil"/>
          <w:right w:val="nil"/>
          <w:between w:val="nil"/>
        </w:pBdr>
        <w:spacing w:line="240" w:lineRule="auto"/>
        <w:rPr>
          <w:b/>
          <w:color w:val="000000"/>
        </w:rPr>
      </w:pPr>
    </w:p>
    <w:p w:rsidR="00607E61" w:rsidRDefault="00C95398">
      <w:pPr>
        <w:pBdr>
          <w:top w:val="nil"/>
          <w:left w:val="nil"/>
          <w:bottom w:val="nil"/>
          <w:right w:val="nil"/>
          <w:between w:val="nil"/>
        </w:pBdr>
        <w:spacing w:line="240" w:lineRule="auto"/>
        <w:ind w:left="720" w:hanging="720"/>
        <w:rPr>
          <w:b/>
          <w:color w:val="000000"/>
        </w:rPr>
      </w:pPr>
      <w:r>
        <w:rPr>
          <w:b/>
          <w:color w:val="000000"/>
        </w:rPr>
        <w:t>G1-Q.</w:t>
      </w:r>
      <w:r>
        <w:rPr>
          <w:b/>
          <w:color w:val="000000"/>
        </w:rPr>
        <w:tab/>
        <w:t>Is there any flexibility on the page limit? We are a large program and need additional pages for our budget narrative.</w:t>
      </w:r>
    </w:p>
    <w:p w:rsidR="00607E61" w:rsidRDefault="00C95398">
      <w:pPr>
        <w:pBdr>
          <w:top w:val="nil"/>
          <w:left w:val="nil"/>
          <w:bottom w:val="nil"/>
          <w:right w:val="nil"/>
          <w:between w:val="nil"/>
        </w:pBdr>
        <w:spacing w:line="240" w:lineRule="auto"/>
        <w:ind w:left="720" w:hanging="720"/>
        <w:rPr>
          <w:color w:val="000000"/>
        </w:rPr>
      </w:pPr>
      <w:r>
        <w:rPr>
          <w:b/>
          <w:color w:val="000000"/>
        </w:rPr>
        <w:t>G1-A.</w:t>
      </w:r>
      <w:r>
        <w:rPr>
          <w:color w:val="000000"/>
        </w:rPr>
        <w:tab/>
        <w:t xml:space="preserve">Yes. </w:t>
      </w:r>
      <w:r w:rsidR="0037531F">
        <w:rPr>
          <w:color w:val="000000"/>
        </w:rPr>
        <w:t>P</w:t>
      </w:r>
      <w:r w:rsidR="00356C8D">
        <w:rPr>
          <w:color w:val="000000"/>
        </w:rPr>
        <w:t>rograms</w:t>
      </w:r>
      <w:r>
        <w:rPr>
          <w:color w:val="000000"/>
        </w:rPr>
        <w:t xml:space="preserve"> </w:t>
      </w:r>
      <w:r w:rsidR="00356C8D">
        <w:rPr>
          <w:color w:val="000000"/>
        </w:rPr>
        <w:t xml:space="preserve">may </w:t>
      </w:r>
      <w:r>
        <w:rPr>
          <w:color w:val="000000"/>
        </w:rPr>
        <w:t xml:space="preserve">include their budget narrative as an appendix. </w:t>
      </w:r>
    </w:p>
    <w:p w:rsidR="0037531F" w:rsidRDefault="0037531F">
      <w:pPr>
        <w:pBdr>
          <w:top w:val="nil"/>
          <w:left w:val="nil"/>
          <w:bottom w:val="nil"/>
          <w:right w:val="nil"/>
          <w:between w:val="nil"/>
        </w:pBdr>
        <w:spacing w:line="240" w:lineRule="auto"/>
        <w:ind w:left="720" w:hanging="720"/>
        <w:rPr>
          <w:color w:val="000000"/>
        </w:rPr>
      </w:pPr>
    </w:p>
    <w:p w:rsidR="00607E61" w:rsidRDefault="00C95398">
      <w:pPr>
        <w:pBdr>
          <w:top w:val="nil"/>
          <w:left w:val="nil"/>
          <w:bottom w:val="nil"/>
          <w:right w:val="nil"/>
          <w:between w:val="nil"/>
        </w:pBdr>
        <w:spacing w:line="240" w:lineRule="auto"/>
        <w:ind w:left="720" w:hanging="720"/>
        <w:rPr>
          <w:b/>
          <w:color w:val="D50032"/>
          <w:sz w:val="28"/>
          <w:szCs w:val="28"/>
        </w:rPr>
      </w:pPr>
      <w:r>
        <w:rPr>
          <w:b/>
          <w:color w:val="D50032"/>
          <w:sz w:val="28"/>
          <w:szCs w:val="28"/>
        </w:rPr>
        <w:t>Financial</w:t>
      </w:r>
    </w:p>
    <w:p w:rsidR="00607E61" w:rsidRDefault="00607E61">
      <w:pPr>
        <w:pBdr>
          <w:top w:val="nil"/>
          <w:left w:val="nil"/>
          <w:bottom w:val="nil"/>
          <w:right w:val="nil"/>
          <w:between w:val="nil"/>
        </w:pBdr>
        <w:spacing w:line="240" w:lineRule="auto"/>
        <w:ind w:left="720" w:hanging="720"/>
        <w:rPr>
          <w:b/>
          <w:color w:val="000000"/>
        </w:rPr>
      </w:pPr>
    </w:p>
    <w:p w:rsidR="00607E61" w:rsidRDefault="00C95398">
      <w:pPr>
        <w:pBdr>
          <w:top w:val="nil"/>
          <w:left w:val="nil"/>
          <w:bottom w:val="nil"/>
          <w:right w:val="nil"/>
          <w:between w:val="nil"/>
        </w:pBdr>
        <w:spacing w:line="240" w:lineRule="auto"/>
        <w:ind w:left="720" w:hanging="720"/>
        <w:rPr>
          <w:b/>
          <w:color w:val="000000"/>
        </w:rPr>
      </w:pPr>
      <w:r>
        <w:rPr>
          <w:b/>
          <w:color w:val="000000"/>
        </w:rPr>
        <w:t>F1-Q.  Will we receive the updated funding amounts prior to the proposal due date?</w:t>
      </w:r>
    </w:p>
    <w:p w:rsidR="00607E61" w:rsidRDefault="00C95398">
      <w:pPr>
        <w:pBdr>
          <w:top w:val="nil"/>
          <w:left w:val="nil"/>
          <w:bottom w:val="nil"/>
          <w:right w:val="nil"/>
          <w:between w:val="nil"/>
        </w:pBdr>
        <w:spacing w:after="240" w:line="240" w:lineRule="auto"/>
        <w:ind w:left="720" w:hanging="720"/>
        <w:rPr>
          <w:b/>
          <w:color w:val="000000"/>
        </w:rPr>
      </w:pPr>
      <w:r>
        <w:rPr>
          <w:b/>
          <w:color w:val="000000"/>
        </w:rPr>
        <w:t xml:space="preserve">F1-A.  </w:t>
      </w:r>
      <w:r>
        <w:rPr>
          <w:color w:val="000000"/>
        </w:rPr>
        <w:t>Final allocations will be published in early April following the completion of the state budget process.</w:t>
      </w:r>
      <w:r>
        <w:rPr>
          <w:b/>
          <w:color w:val="000000"/>
        </w:rPr>
        <w:t xml:space="preserve"> </w:t>
      </w:r>
    </w:p>
    <w:p w:rsidR="00607E61" w:rsidRDefault="00C95398">
      <w:pPr>
        <w:pBdr>
          <w:top w:val="nil"/>
          <w:left w:val="nil"/>
          <w:bottom w:val="nil"/>
          <w:right w:val="nil"/>
          <w:between w:val="nil"/>
        </w:pBdr>
        <w:spacing w:line="240" w:lineRule="auto"/>
        <w:ind w:left="720" w:hanging="720"/>
        <w:rPr>
          <w:b/>
          <w:color w:val="000000"/>
        </w:rPr>
      </w:pPr>
      <w:r>
        <w:rPr>
          <w:b/>
          <w:color w:val="000000"/>
        </w:rPr>
        <w:t>F2-Q.  As an IELCE program, are we eligible to request the amount of funds for the number of students we project to serve in Program Year 2021-2022, despite having had lower enrollment than predicted in Program Year 2020-2021?</w:t>
      </w:r>
    </w:p>
    <w:p w:rsidR="00607E61" w:rsidRDefault="00C95398" w:rsidP="0037531F">
      <w:pPr>
        <w:pBdr>
          <w:top w:val="nil"/>
          <w:left w:val="nil"/>
          <w:bottom w:val="nil"/>
          <w:right w:val="nil"/>
          <w:between w:val="nil"/>
        </w:pBdr>
        <w:spacing w:after="240" w:line="240" w:lineRule="auto"/>
        <w:ind w:left="720" w:hanging="720"/>
        <w:rPr>
          <w:color w:val="000000"/>
        </w:rPr>
      </w:pPr>
      <w:r>
        <w:rPr>
          <w:b/>
          <w:color w:val="000000"/>
        </w:rPr>
        <w:t xml:space="preserve">F2-A.  </w:t>
      </w:r>
      <w:r>
        <w:rPr>
          <w:color w:val="000000"/>
        </w:rPr>
        <w:t xml:space="preserve">Yes, you may request the amount </w:t>
      </w:r>
      <w:r w:rsidR="00356C8D">
        <w:rPr>
          <w:color w:val="000000"/>
        </w:rPr>
        <w:t xml:space="preserve">of funding </w:t>
      </w:r>
      <w:r>
        <w:rPr>
          <w:color w:val="000000"/>
        </w:rPr>
        <w:t xml:space="preserve">that corresponds to the number of students you predict you will serve in Program Year 2021-2022. </w:t>
      </w:r>
    </w:p>
    <w:p w:rsidR="0037531F" w:rsidRDefault="0037531F">
      <w:pPr>
        <w:pBdr>
          <w:top w:val="nil"/>
          <w:left w:val="nil"/>
          <w:bottom w:val="nil"/>
          <w:right w:val="nil"/>
          <w:between w:val="nil"/>
        </w:pBdr>
        <w:spacing w:line="240" w:lineRule="auto"/>
        <w:ind w:left="720" w:hanging="720"/>
        <w:rPr>
          <w:color w:val="222222"/>
          <w:shd w:val="clear" w:color="auto" w:fill="FFFFFF"/>
        </w:rPr>
      </w:pPr>
      <w:r>
        <w:rPr>
          <w:b/>
          <w:color w:val="000000"/>
        </w:rPr>
        <w:t xml:space="preserve">F3-Q.  </w:t>
      </w:r>
      <w:r w:rsidRPr="0037531F">
        <w:rPr>
          <w:b/>
          <w:color w:val="000000"/>
        </w:rPr>
        <w:t>Must</w:t>
      </w:r>
      <w:r w:rsidRPr="0037531F">
        <w:rPr>
          <w:b/>
          <w:color w:val="222222"/>
          <w:shd w:val="clear" w:color="auto" w:fill="FFFFFF"/>
        </w:rPr>
        <w:t xml:space="preserve"> our C&amp;I budget remain the same </w:t>
      </w:r>
      <w:r>
        <w:rPr>
          <w:b/>
          <w:color w:val="222222"/>
          <w:shd w:val="clear" w:color="auto" w:fill="FFFFFF"/>
        </w:rPr>
        <w:t>each year</w:t>
      </w:r>
      <w:r w:rsidRPr="0037531F">
        <w:rPr>
          <w:b/>
          <w:color w:val="222222"/>
          <w:shd w:val="clear" w:color="auto" w:fill="FFFFFF"/>
        </w:rPr>
        <w:t xml:space="preserve"> or can it be increased or decreased during continuation years?</w:t>
      </w:r>
    </w:p>
    <w:p w:rsidR="0037531F" w:rsidRPr="0037531F" w:rsidRDefault="0037531F">
      <w:pPr>
        <w:pBdr>
          <w:top w:val="nil"/>
          <w:left w:val="nil"/>
          <w:bottom w:val="nil"/>
          <w:right w:val="nil"/>
          <w:between w:val="nil"/>
        </w:pBdr>
        <w:spacing w:line="240" w:lineRule="auto"/>
        <w:ind w:left="720" w:hanging="720"/>
        <w:rPr>
          <w:b/>
          <w:color w:val="000000"/>
        </w:rPr>
      </w:pPr>
      <w:r>
        <w:rPr>
          <w:b/>
          <w:color w:val="000000"/>
        </w:rPr>
        <w:t xml:space="preserve">F3-A.  </w:t>
      </w:r>
      <w:r>
        <w:rPr>
          <w:color w:val="222222"/>
          <w:shd w:val="clear" w:color="auto" w:fill="FFFFFF"/>
        </w:rPr>
        <w:t>You may set the C&amp;I budget within your federal allocation in each year to reflect changes in service. It cannot be greater than 20 percent of the full federal allocation for your region and must include delivery of instructional services. </w:t>
      </w:r>
    </w:p>
    <w:p w:rsidR="00607E61" w:rsidRDefault="00607E61">
      <w:pPr>
        <w:pBdr>
          <w:top w:val="nil"/>
          <w:left w:val="nil"/>
          <w:bottom w:val="nil"/>
          <w:right w:val="nil"/>
          <w:between w:val="nil"/>
        </w:pBdr>
        <w:spacing w:line="240" w:lineRule="auto"/>
        <w:ind w:left="720" w:hanging="720"/>
        <w:rPr>
          <w:color w:val="000000"/>
        </w:rPr>
      </w:pPr>
    </w:p>
    <w:p w:rsidR="00607E61" w:rsidRDefault="00C95398">
      <w:pPr>
        <w:pBdr>
          <w:top w:val="nil"/>
          <w:left w:val="nil"/>
          <w:bottom w:val="nil"/>
          <w:right w:val="nil"/>
          <w:between w:val="nil"/>
        </w:pBdr>
        <w:spacing w:line="240" w:lineRule="auto"/>
        <w:ind w:left="720" w:hanging="720"/>
        <w:rPr>
          <w:b/>
          <w:color w:val="D50032"/>
          <w:sz w:val="28"/>
          <w:szCs w:val="28"/>
        </w:rPr>
      </w:pPr>
      <w:r>
        <w:rPr>
          <w:b/>
          <w:color w:val="D50032"/>
          <w:sz w:val="28"/>
          <w:szCs w:val="28"/>
        </w:rPr>
        <w:t>Programming</w:t>
      </w:r>
    </w:p>
    <w:p w:rsidR="00607E61" w:rsidRDefault="00607E61">
      <w:pPr>
        <w:pBdr>
          <w:top w:val="nil"/>
          <w:left w:val="nil"/>
          <w:bottom w:val="nil"/>
          <w:right w:val="nil"/>
          <w:between w:val="nil"/>
        </w:pBdr>
        <w:spacing w:line="240" w:lineRule="auto"/>
        <w:ind w:left="720" w:hanging="720"/>
        <w:rPr>
          <w:color w:val="000000"/>
        </w:rPr>
      </w:pPr>
    </w:p>
    <w:p w:rsidR="00607E61" w:rsidRDefault="00C95398">
      <w:pPr>
        <w:pBdr>
          <w:top w:val="nil"/>
          <w:left w:val="nil"/>
          <w:bottom w:val="nil"/>
          <w:right w:val="nil"/>
          <w:between w:val="nil"/>
        </w:pBdr>
        <w:spacing w:line="240" w:lineRule="auto"/>
        <w:ind w:left="720" w:hanging="720"/>
        <w:rPr>
          <w:b/>
          <w:color w:val="000000"/>
        </w:rPr>
      </w:pPr>
      <w:r>
        <w:rPr>
          <w:b/>
          <w:color w:val="000000"/>
        </w:rPr>
        <w:t xml:space="preserve">P1-Q.  May we propose a different occupational focus for our IET than we had planned in the competitive application? The economic situation and training opportunities have changed. </w:t>
      </w:r>
    </w:p>
    <w:p w:rsidR="00607E61" w:rsidRDefault="00C95398" w:rsidP="001A6B46">
      <w:pPr>
        <w:pBdr>
          <w:top w:val="nil"/>
          <w:left w:val="nil"/>
          <w:bottom w:val="nil"/>
          <w:right w:val="nil"/>
          <w:between w:val="nil"/>
        </w:pBdr>
        <w:spacing w:line="240" w:lineRule="auto"/>
        <w:ind w:left="720" w:hanging="720"/>
      </w:pPr>
      <w:r>
        <w:rPr>
          <w:b/>
          <w:color w:val="000000"/>
        </w:rPr>
        <w:t xml:space="preserve">P1-A.  </w:t>
      </w:r>
      <w:r>
        <w:rPr>
          <w:color w:val="000000"/>
        </w:rPr>
        <w:t xml:space="preserve">Yes, you may propose a different occupational focus for the IET than you did in the initial application. Provide within the description of the IET a justification of how the new occupational focus </w:t>
      </w:r>
      <w:r w:rsidR="00356C8D">
        <w:rPr>
          <w:color w:val="000000"/>
        </w:rPr>
        <w:t>will</w:t>
      </w:r>
      <w:r>
        <w:rPr>
          <w:color w:val="000000"/>
        </w:rPr>
        <w:t xml:space="preserve"> meet the realities of the current</w:t>
      </w:r>
      <w:r w:rsidR="00356C8D">
        <w:rPr>
          <w:color w:val="000000"/>
        </w:rPr>
        <w:t>, local</w:t>
      </w:r>
      <w:r>
        <w:rPr>
          <w:color w:val="000000"/>
        </w:rPr>
        <w:t xml:space="preserve"> employment and training situation and be aligned to the career pathways in your region.</w:t>
      </w:r>
    </w:p>
    <w:sectPr w:rsidR="00607E61">
      <w:headerReference w:type="even" r:id="rId6"/>
      <w:headerReference w:type="default" r:id="rId7"/>
      <w:footerReference w:type="even" r:id="rId8"/>
      <w:footerReference w:type="default" r:id="rId9"/>
      <w:headerReference w:type="first" r:id="rId10"/>
      <w:footerReference w:type="first" r:id="rId11"/>
      <w:pgSz w:w="12240" w:h="15840"/>
      <w:pgMar w:top="720" w:right="1440" w:bottom="1440" w:left="1440" w:header="0" w:footer="113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6B4E" w:rsidRDefault="00B06B4E">
      <w:pPr>
        <w:spacing w:line="240" w:lineRule="auto"/>
      </w:pPr>
      <w:r>
        <w:separator/>
      </w:r>
    </w:p>
  </w:endnote>
  <w:endnote w:type="continuationSeparator" w:id="0">
    <w:p w:rsidR="00B06B4E" w:rsidRDefault="00B06B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Josefin San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E61" w:rsidRDefault="00607E61">
    <w:pPr>
      <w:pBdr>
        <w:top w:val="nil"/>
        <w:left w:val="nil"/>
        <w:bottom w:val="nil"/>
        <w:right w:val="nil"/>
        <w:between w:val="nil"/>
      </w:pBdr>
      <w:tabs>
        <w:tab w:val="center" w:pos="4680"/>
        <w:tab w:val="right" w:pos="9360"/>
      </w:tabs>
      <w:spacing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E61" w:rsidRDefault="00C95398">
    <w:pPr>
      <w:rPr>
        <w:rFonts w:ascii="Trebuchet MS" w:eastAsia="Trebuchet MS" w:hAnsi="Trebuchet MS" w:cs="Trebuchet MS"/>
        <w:sz w:val="18"/>
        <w:szCs w:val="18"/>
      </w:rPr>
    </w:pPr>
    <w:r>
      <w:rPr>
        <w:rFonts w:ascii="Trebuchet MS" w:eastAsia="Trebuchet MS" w:hAnsi="Trebuchet MS" w:cs="Trebuchet MS"/>
        <w:sz w:val="20"/>
        <w:szCs w:val="20"/>
      </w:rPr>
      <w:t xml:space="preserve">     </w:t>
    </w:r>
    <w:r>
      <w:rPr>
        <w:rFonts w:ascii="Trebuchet MS" w:eastAsia="Trebuchet MS" w:hAnsi="Trebuchet MS" w:cs="Trebuchet MS"/>
        <w:sz w:val="18"/>
        <w:szCs w:val="18"/>
      </w:rPr>
      <w:t>PO Box 2120 Richmond, VA 23218</w:t>
    </w:r>
    <w:r>
      <w:rPr>
        <w:rFonts w:ascii="Trebuchet MS" w:eastAsia="Trebuchet MS" w:hAnsi="Trebuchet MS" w:cs="Trebuchet MS"/>
        <w:color w:val="BB0034"/>
        <w:sz w:val="18"/>
        <w:szCs w:val="18"/>
      </w:rPr>
      <w:t xml:space="preserve"> | </w:t>
    </w:r>
    <w:r>
      <w:rPr>
        <w:rFonts w:ascii="Trebuchet MS" w:eastAsia="Trebuchet MS" w:hAnsi="Trebuchet MS" w:cs="Trebuchet MS"/>
        <w:sz w:val="18"/>
        <w:szCs w:val="18"/>
      </w:rPr>
      <w:t>101 N. 14th Street Richmond, VA 23219</w:t>
    </w:r>
    <w:r>
      <w:rPr>
        <w:rFonts w:ascii="Trebuchet MS" w:eastAsia="Trebuchet MS" w:hAnsi="Trebuchet MS" w:cs="Trebuchet MS"/>
        <w:color w:val="BB0034"/>
        <w:sz w:val="18"/>
        <w:szCs w:val="18"/>
      </w:rPr>
      <w:t xml:space="preserve"> | </w:t>
    </w:r>
    <w:r>
      <w:rPr>
        <w:rFonts w:ascii="Trebuchet MS" w:eastAsia="Trebuchet MS" w:hAnsi="Trebuchet MS" w:cs="Trebuchet MS"/>
        <w:sz w:val="18"/>
        <w:szCs w:val="18"/>
      </w:rPr>
      <w:t>1-800-292-3820</w:t>
    </w:r>
    <w:r>
      <w:rPr>
        <w:rFonts w:ascii="Trebuchet MS" w:eastAsia="Trebuchet MS" w:hAnsi="Trebuchet MS" w:cs="Trebuchet MS"/>
        <w:color w:val="BB0034"/>
        <w:sz w:val="18"/>
        <w:szCs w:val="18"/>
      </w:rPr>
      <w:t xml:space="preserve"> | </w:t>
    </w:r>
    <w:r>
      <w:rPr>
        <w:rFonts w:ascii="Trebuchet MS" w:eastAsia="Trebuchet MS" w:hAnsi="Trebuchet MS" w:cs="Trebuchet MS"/>
        <w:sz w:val="18"/>
        <w:szCs w:val="18"/>
      </w:rPr>
      <w:t>doe.virginia.gov</w:t>
    </w:r>
    <w:r>
      <w:rPr>
        <w:noProof/>
      </w:rPr>
      <w:drawing>
        <wp:anchor distT="0" distB="0" distL="0" distR="0" simplePos="0" relativeHeight="251659264" behindDoc="0" locked="0" layoutInCell="1" hidden="0" allowOverlap="1">
          <wp:simplePos x="0" y="0"/>
          <wp:positionH relativeFrom="column">
            <wp:posOffset>-914399</wp:posOffset>
          </wp:positionH>
          <wp:positionV relativeFrom="paragraph">
            <wp:posOffset>182880</wp:posOffset>
          </wp:positionV>
          <wp:extent cx="7772400" cy="713232"/>
          <wp:effectExtent l="0" t="0" r="0" b="0"/>
          <wp:wrapSquare wrapText="bothSides" distT="0" distB="0" distL="0" distR="0"/>
          <wp:docPr id="4" name="image2.png" descr="Decorative footer that contains the words &quot;Virginia Department of Education"/>
          <wp:cNvGraphicFramePr/>
          <a:graphic xmlns:a="http://schemas.openxmlformats.org/drawingml/2006/main">
            <a:graphicData uri="http://schemas.openxmlformats.org/drawingml/2006/picture">
              <pic:pic xmlns:pic="http://schemas.openxmlformats.org/drawingml/2006/picture">
                <pic:nvPicPr>
                  <pic:cNvPr id="0" name="image2.png" descr="Decorative footer that contains the words &quot;Virginia Department of Education"/>
                  <pic:cNvPicPr preferRelativeResize="0"/>
                </pic:nvPicPr>
                <pic:blipFill>
                  <a:blip r:embed="rId1"/>
                  <a:srcRect t="92995"/>
                  <a:stretch>
                    <a:fillRect/>
                  </a:stretch>
                </pic:blipFill>
                <pic:spPr>
                  <a:xfrm>
                    <a:off x="0" y="0"/>
                    <a:ext cx="7772400" cy="713232"/>
                  </a:xfrm>
                  <a:prstGeom prst="rect">
                    <a:avLst/>
                  </a:prstGeom>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E61" w:rsidRDefault="00607E61">
    <w:pPr>
      <w:pBdr>
        <w:top w:val="nil"/>
        <w:left w:val="nil"/>
        <w:bottom w:val="nil"/>
        <w:right w:val="nil"/>
        <w:between w:val="nil"/>
      </w:pBdr>
      <w:tabs>
        <w:tab w:val="center" w:pos="4680"/>
        <w:tab w:val="right" w:pos="9360"/>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6B4E" w:rsidRDefault="00B06B4E">
      <w:pPr>
        <w:spacing w:line="240" w:lineRule="auto"/>
      </w:pPr>
      <w:r>
        <w:separator/>
      </w:r>
    </w:p>
  </w:footnote>
  <w:footnote w:type="continuationSeparator" w:id="0">
    <w:p w:rsidR="00B06B4E" w:rsidRDefault="00B06B4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E61" w:rsidRDefault="00607E61">
    <w:pPr>
      <w:pBdr>
        <w:top w:val="nil"/>
        <w:left w:val="nil"/>
        <w:bottom w:val="nil"/>
        <w:right w:val="nil"/>
        <w:between w:val="nil"/>
      </w:pBdr>
      <w:tabs>
        <w:tab w:val="center" w:pos="4680"/>
        <w:tab w:val="right" w:pos="9360"/>
      </w:tabs>
      <w:spacing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E61" w:rsidRDefault="00C95398">
    <w:bookmarkStart w:id="0" w:name="_GoBack"/>
    <w:r>
      <w:rPr>
        <w:noProof/>
      </w:rPr>
      <w:drawing>
        <wp:anchor distT="0" distB="0" distL="0" distR="0" simplePos="0" relativeHeight="251658240" behindDoc="0" locked="0" layoutInCell="1" hidden="0" allowOverlap="1">
          <wp:simplePos x="0" y="0"/>
          <wp:positionH relativeFrom="page">
            <wp:posOffset>0</wp:posOffset>
          </wp:positionH>
          <wp:positionV relativeFrom="page">
            <wp:posOffset>0</wp:posOffset>
          </wp:positionV>
          <wp:extent cx="7767638" cy="1082988"/>
          <wp:effectExtent l="0" t="0" r="0" b="0"/>
          <wp:wrapSquare wrapText="bothSides" distT="0" distB="0" distL="0" distR="0"/>
          <wp:docPr id="3" name="image1.png" descr="Decorative Header containing the VDOE Logo"/>
          <wp:cNvGraphicFramePr/>
          <a:graphic xmlns:a="http://schemas.openxmlformats.org/drawingml/2006/main">
            <a:graphicData uri="http://schemas.openxmlformats.org/drawingml/2006/picture">
              <pic:pic xmlns:pic="http://schemas.openxmlformats.org/drawingml/2006/picture">
                <pic:nvPicPr>
                  <pic:cNvPr id="0" name="image1.png" descr="Decorative Header containing the VDOE Logo"/>
                  <pic:cNvPicPr preferRelativeResize="0"/>
                </pic:nvPicPr>
                <pic:blipFill>
                  <a:blip r:embed="rId1"/>
                  <a:srcRect b="89232"/>
                  <a:stretch>
                    <a:fillRect/>
                  </a:stretch>
                </pic:blipFill>
                <pic:spPr>
                  <a:xfrm>
                    <a:off x="0" y="0"/>
                    <a:ext cx="7767638" cy="1082988"/>
                  </a:xfrm>
                  <a:prstGeom prst="rect">
                    <a:avLst/>
                  </a:prstGeom>
                  <a:ln/>
                </pic:spPr>
              </pic:pic>
            </a:graphicData>
          </a:graphic>
        </wp:anchor>
      </w:drawing>
    </w:r>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E61" w:rsidRDefault="00607E61">
    <w:pPr>
      <w:pBdr>
        <w:top w:val="nil"/>
        <w:left w:val="nil"/>
        <w:bottom w:val="nil"/>
        <w:right w:val="nil"/>
        <w:between w:val="nil"/>
      </w:pBdr>
      <w:tabs>
        <w:tab w:val="center" w:pos="4680"/>
        <w:tab w:val="right" w:pos="9360"/>
      </w:tabs>
      <w:spacing w:line="240" w:lineRule="aut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E61"/>
    <w:rsid w:val="001A6B46"/>
    <w:rsid w:val="00356C8D"/>
    <w:rsid w:val="0037531F"/>
    <w:rsid w:val="00607E61"/>
    <w:rsid w:val="006F2E43"/>
    <w:rsid w:val="00A64547"/>
    <w:rsid w:val="00B06B4E"/>
    <w:rsid w:val="00C95398"/>
    <w:rsid w:val="00EB4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22BD30-43DB-40D0-B06D-A68CD762E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353744"/>
        <w:sz w:val="24"/>
        <w:szCs w:val="24"/>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3FA0"/>
  </w:style>
  <w:style w:type="paragraph" w:styleId="Heading1">
    <w:name w:val="heading 1"/>
    <w:basedOn w:val="Normal"/>
    <w:next w:val="Normal"/>
    <w:uiPriority w:val="9"/>
    <w:qFormat/>
    <w:rsid w:val="00933FA0"/>
    <w:pPr>
      <w:keepNext/>
      <w:keepLines/>
      <w:spacing w:after="120"/>
      <w:outlineLvl w:val="0"/>
    </w:pPr>
    <w:rPr>
      <w:rFonts w:ascii="Trebuchet MS" w:eastAsia="Josefin Sans" w:hAnsi="Trebuchet MS" w:cs="Josefin Sans"/>
      <w:b/>
      <w:color w:val="D50032"/>
      <w:sz w:val="28"/>
      <w:szCs w:val="28"/>
    </w:rPr>
  </w:style>
  <w:style w:type="paragraph" w:styleId="Heading2">
    <w:name w:val="heading 2"/>
    <w:basedOn w:val="Normal"/>
    <w:next w:val="Normal"/>
    <w:uiPriority w:val="9"/>
    <w:semiHidden/>
    <w:unhideWhenUsed/>
    <w:qFormat/>
    <w:rsid w:val="00933FA0"/>
    <w:pPr>
      <w:keepNext/>
      <w:keepLines/>
      <w:spacing w:after="120"/>
      <w:outlineLvl w:val="1"/>
    </w:pPr>
    <w:rPr>
      <w:rFonts w:ascii="Trebuchet MS" w:eastAsia="Josefin Sans" w:hAnsi="Trebuchet MS" w:cs="Josefin Sans"/>
      <w:b/>
      <w:color w:val="D50032"/>
      <w:sz w:val="28"/>
      <w:szCs w:val="28"/>
    </w:rPr>
  </w:style>
  <w:style w:type="paragraph" w:styleId="Heading3">
    <w:name w:val="heading 3"/>
    <w:basedOn w:val="Normal"/>
    <w:next w:val="Normal"/>
    <w:uiPriority w:val="9"/>
    <w:semiHidden/>
    <w:unhideWhenUsed/>
    <w:qFormat/>
    <w:pPr>
      <w:keepNext/>
      <w:keepLines/>
      <w:spacing w:before="200" w:line="240" w:lineRule="auto"/>
      <w:outlineLvl w:val="2"/>
    </w:pPr>
    <w:rPr>
      <w:sz w:val="26"/>
      <w:szCs w:val="26"/>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933FA0"/>
    <w:pPr>
      <w:keepNext/>
      <w:keepLines/>
      <w:spacing w:after="300"/>
    </w:pPr>
    <w:rPr>
      <w:rFonts w:ascii="Trebuchet MS" w:eastAsia="Josefin Sans" w:hAnsi="Trebuchet MS" w:cs="Josefin Sans"/>
      <w:color w:val="D50032"/>
      <w:sz w:val="34"/>
      <w:szCs w:val="34"/>
    </w:rPr>
  </w:style>
  <w:style w:type="paragraph" w:styleId="Subtitle">
    <w:name w:val="Subtitle"/>
    <w:basedOn w:val="Normal"/>
    <w:next w:val="Normal"/>
    <w:pPr>
      <w:keepNext/>
      <w:keepLines/>
    </w:pPr>
    <w:rPr>
      <w:sz w:val="48"/>
      <w:szCs w:val="48"/>
    </w:rPr>
  </w:style>
  <w:style w:type="paragraph" w:styleId="Header">
    <w:name w:val="header"/>
    <w:basedOn w:val="Normal"/>
    <w:link w:val="HeaderChar"/>
    <w:uiPriority w:val="99"/>
    <w:unhideWhenUsed/>
    <w:rsid w:val="00FC3E30"/>
    <w:pPr>
      <w:tabs>
        <w:tab w:val="center" w:pos="4680"/>
        <w:tab w:val="right" w:pos="9360"/>
      </w:tabs>
      <w:spacing w:line="240" w:lineRule="auto"/>
    </w:pPr>
  </w:style>
  <w:style w:type="character" w:customStyle="1" w:styleId="HeaderChar">
    <w:name w:val="Header Char"/>
    <w:basedOn w:val="DefaultParagraphFont"/>
    <w:link w:val="Header"/>
    <w:uiPriority w:val="99"/>
    <w:rsid w:val="00FC3E30"/>
  </w:style>
  <w:style w:type="paragraph" w:styleId="Footer">
    <w:name w:val="footer"/>
    <w:basedOn w:val="Normal"/>
    <w:link w:val="FooterChar"/>
    <w:uiPriority w:val="99"/>
    <w:unhideWhenUsed/>
    <w:rsid w:val="00FC3E30"/>
    <w:pPr>
      <w:tabs>
        <w:tab w:val="center" w:pos="4680"/>
        <w:tab w:val="right" w:pos="9360"/>
      </w:tabs>
      <w:spacing w:line="240" w:lineRule="auto"/>
    </w:pPr>
  </w:style>
  <w:style w:type="character" w:customStyle="1" w:styleId="FooterChar">
    <w:name w:val="Footer Char"/>
    <w:basedOn w:val="DefaultParagraphFont"/>
    <w:link w:val="Footer"/>
    <w:uiPriority w:val="99"/>
    <w:rsid w:val="00FC3E30"/>
  </w:style>
  <w:style w:type="paragraph" w:styleId="NoSpacing">
    <w:name w:val="No Spacing"/>
    <w:uiPriority w:val="1"/>
    <w:qFormat/>
    <w:rsid w:val="000F7A8A"/>
    <w:pPr>
      <w:spacing w:line="240" w:lineRule="auto"/>
    </w:pPr>
    <w:rPr>
      <w:rFonts w:asciiTheme="minorHAnsi" w:eastAsiaTheme="minorHAnsi" w:hAnsiTheme="minorHAnsi" w:cstheme="minorBidi"/>
      <w:color w:val="auto"/>
    </w:rPr>
  </w:style>
  <w:style w:type="character" w:styleId="Hyperlink">
    <w:name w:val="Hyperlink"/>
    <w:basedOn w:val="DefaultParagraphFont"/>
    <w:uiPriority w:val="99"/>
    <w:unhideWhenUsed/>
    <w:rsid w:val="000F7A8A"/>
    <w:rPr>
      <w:color w:val="D50032" w:themeColor="hyperlink"/>
      <w:u w:val="single"/>
    </w:rPr>
  </w:style>
  <w:style w:type="paragraph" w:styleId="BalloonText">
    <w:name w:val="Balloon Text"/>
    <w:basedOn w:val="Normal"/>
    <w:link w:val="BalloonTextChar"/>
    <w:uiPriority w:val="99"/>
    <w:semiHidden/>
    <w:unhideWhenUsed/>
    <w:rsid w:val="00356C8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6C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VDOE">
  <a:themeElements>
    <a:clrScheme name="VDOE">
      <a:dk1>
        <a:sysClr val="windowText" lastClr="000000"/>
      </a:dk1>
      <a:lt1>
        <a:sysClr val="window" lastClr="FFFFFF"/>
      </a:lt1>
      <a:dk2>
        <a:srgbClr val="101820"/>
      </a:dk2>
      <a:lt2>
        <a:srgbClr val="F1E6B2"/>
      </a:lt2>
      <a:accent1>
        <a:srgbClr val="D50032"/>
      </a:accent1>
      <a:accent2>
        <a:srgbClr val="101820"/>
      </a:accent2>
      <a:accent3>
        <a:srgbClr val="FFC72C"/>
      </a:accent3>
      <a:accent4>
        <a:srgbClr val="F1E6B2"/>
      </a:accent4>
      <a:accent5>
        <a:srgbClr val="259591"/>
      </a:accent5>
      <a:accent6>
        <a:srgbClr val="7F7F7F"/>
      </a:accent6>
      <a:hlink>
        <a:srgbClr val="D50032"/>
      </a:hlink>
      <a:folHlink>
        <a:srgbClr val="000000"/>
      </a:folHlink>
    </a:clrScheme>
    <a:fontScheme name="VDOE">
      <a:majorFont>
        <a:latin typeface="Trebuchet MS"/>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265</Words>
  <Characters>1513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Adult Education 2021 FAQ Set 1</vt:lpstr>
    </vt:vector>
  </TitlesOfParts>
  <Company>Virginia Information Technologies Agency</Company>
  <LinksUpToDate>false</LinksUpToDate>
  <CharactersWithSpaces>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Adult Education 2021 FAQ Set 1</dc:title>
  <dc:creator>Nuthall, Timothy (DOE)</dc:creator>
  <cp:lastModifiedBy>Acuff, Sharon (DOE)</cp:lastModifiedBy>
  <cp:revision>2</cp:revision>
  <dcterms:created xsi:type="dcterms:W3CDTF">2021-04-06T18:08:00Z</dcterms:created>
  <dcterms:modified xsi:type="dcterms:W3CDTF">2021-04-06T18:08:00Z</dcterms:modified>
</cp:coreProperties>
</file>